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1546C6F" w14:textId="77777777" w:rsidR="006C0260" w:rsidRDefault="00680D15">
      <w:pPr>
        <w:ind w:right="57"/>
        <w:jc w:val="center"/>
        <w:rPr>
          <w:rFonts w:ascii="华文中宋" w:eastAsia="华文中宋" w:hAnsi="华文中宋"/>
          <w:bCs/>
          <w:color w:val="FF0000"/>
          <w:spacing w:val="-6"/>
          <w:sz w:val="56"/>
          <w:szCs w:val="21"/>
        </w:rPr>
      </w:pPr>
      <w:r>
        <w:rPr>
          <w:rFonts w:ascii="华文中宋" w:eastAsia="华文中宋" w:hAnsi="华文中宋" w:hint="eastAsia"/>
          <w:color w:val="FF0000"/>
          <w:spacing w:val="-10"/>
          <w:sz w:val="44"/>
          <w:szCs w:val="44"/>
        </w:rPr>
        <w:t>中国农业科学院小麦产业专家团工作简报</w:t>
      </w:r>
    </w:p>
    <w:p w14:paraId="1ED0885D" w14:textId="66BE4557" w:rsidR="006C0260" w:rsidRDefault="00680D15">
      <w:pPr>
        <w:ind w:right="57"/>
        <w:jc w:val="center"/>
        <w:rPr>
          <w:rFonts w:ascii="仿宋" w:eastAsia="仿宋" w:hAnsi="仿宋"/>
          <w:bCs/>
          <w:color w:val="000000"/>
          <w:spacing w:val="-6"/>
          <w:sz w:val="32"/>
          <w:szCs w:val="32"/>
        </w:rPr>
      </w:pPr>
      <w:r>
        <w:rPr>
          <w:rFonts w:ascii="仿宋" w:eastAsia="仿宋" w:hAnsi="仿宋" w:hint="eastAsia"/>
          <w:bCs/>
          <w:color w:val="000000"/>
          <w:spacing w:val="-6"/>
          <w:sz w:val="32"/>
          <w:szCs w:val="32"/>
        </w:rPr>
        <w:t>第</w:t>
      </w:r>
      <w:r w:rsidR="00CB41A4">
        <w:rPr>
          <w:rFonts w:ascii="仿宋" w:eastAsia="仿宋" w:hAnsi="仿宋"/>
          <w:bCs/>
          <w:color w:val="000000"/>
          <w:spacing w:val="-6"/>
          <w:sz w:val="32"/>
          <w:szCs w:val="32"/>
        </w:rPr>
        <w:t>1</w:t>
      </w:r>
      <w:r w:rsidR="001B39FE">
        <w:rPr>
          <w:rFonts w:ascii="仿宋" w:eastAsia="仿宋" w:hAnsi="仿宋" w:hint="eastAsia"/>
          <w:bCs/>
          <w:color w:val="000000"/>
          <w:spacing w:val="-6"/>
          <w:sz w:val="32"/>
          <w:szCs w:val="32"/>
        </w:rPr>
        <w:t>4</w:t>
      </w:r>
      <w:r>
        <w:rPr>
          <w:rFonts w:ascii="仿宋" w:eastAsia="仿宋" w:hAnsi="仿宋" w:hint="eastAsia"/>
          <w:bCs/>
          <w:color w:val="000000"/>
          <w:spacing w:val="-6"/>
          <w:sz w:val="32"/>
          <w:szCs w:val="32"/>
        </w:rPr>
        <w:t>期</w:t>
      </w:r>
    </w:p>
    <w:p w14:paraId="674DBD2C" w14:textId="5DDAE3BF" w:rsidR="000C61A5" w:rsidRDefault="000C61A5" w:rsidP="000C61A5">
      <w:pPr>
        <w:spacing w:line="360" w:lineRule="atLeast"/>
        <w:ind w:right="22"/>
        <w:rPr>
          <w:rFonts w:ascii="仿宋" w:eastAsia="仿宋" w:hAnsi="仿宋"/>
          <w:spacing w:val="-6"/>
          <w:sz w:val="32"/>
          <w:szCs w:val="32"/>
        </w:rPr>
      </w:pPr>
      <w:r w:rsidRPr="000C61A5">
        <w:rPr>
          <w:rFonts w:ascii="仿宋" w:eastAsia="仿宋" w:hAnsi="仿宋" w:hint="eastAsia"/>
          <w:spacing w:val="-6"/>
          <w:sz w:val="32"/>
          <w:szCs w:val="32"/>
        </w:rPr>
        <w:t>中国农</w:t>
      </w:r>
      <w:r>
        <w:rPr>
          <w:rFonts w:ascii="仿宋" w:eastAsia="仿宋" w:hAnsi="仿宋" w:hint="eastAsia"/>
          <w:spacing w:val="-6"/>
          <w:sz w:val="32"/>
          <w:szCs w:val="32"/>
        </w:rPr>
        <w:t>业</w:t>
      </w:r>
      <w:r w:rsidRPr="000C61A5">
        <w:rPr>
          <w:rFonts w:ascii="仿宋" w:eastAsia="仿宋" w:hAnsi="仿宋" w:hint="eastAsia"/>
          <w:spacing w:val="-6"/>
          <w:sz w:val="32"/>
          <w:szCs w:val="32"/>
        </w:rPr>
        <w:t>科</w:t>
      </w:r>
      <w:r>
        <w:rPr>
          <w:rFonts w:ascii="仿宋" w:eastAsia="仿宋" w:hAnsi="仿宋" w:hint="eastAsia"/>
          <w:spacing w:val="-6"/>
          <w:sz w:val="32"/>
          <w:szCs w:val="32"/>
        </w:rPr>
        <w:t>学</w:t>
      </w:r>
      <w:r w:rsidRPr="000C61A5">
        <w:rPr>
          <w:rFonts w:ascii="仿宋" w:eastAsia="仿宋" w:hAnsi="仿宋" w:hint="eastAsia"/>
          <w:spacing w:val="-6"/>
          <w:sz w:val="32"/>
          <w:szCs w:val="32"/>
        </w:rPr>
        <w:t>院小麦产业专家团</w:t>
      </w:r>
    </w:p>
    <w:p w14:paraId="410C0771" w14:textId="6C13797F" w:rsidR="006C0260" w:rsidRDefault="000C61A5" w:rsidP="000C61A5">
      <w:pPr>
        <w:spacing w:line="360" w:lineRule="atLeast"/>
        <w:rPr>
          <w:rFonts w:ascii="仿宋" w:eastAsia="仿宋" w:hAnsi="仿宋"/>
          <w:spacing w:val="-6"/>
          <w:sz w:val="32"/>
          <w:szCs w:val="32"/>
        </w:rPr>
      </w:pPr>
      <w:r w:rsidRPr="000C61A5">
        <w:rPr>
          <w:rFonts w:ascii="仿宋" w:eastAsia="仿宋" w:hAnsi="仿宋" w:hint="eastAsia"/>
          <w:spacing w:val="64"/>
          <w:sz w:val="32"/>
          <w:szCs w:val="32"/>
        </w:rPr>
        <w:t>国家小麦产业技术体系</w:t>
      </w:r>
      <w:r w:rsidR="00680D15">
        <w:rPr>
          <w:rFonts w:ascii="仿宋" w:eastAsia="仿宋" w:hAnsi="仿宋" w:hint="eastAsia"/>
          <w:spacing w:val="-6"/>
          <w:sz w:val="32"/>
          <w:szCs w:val="32"/>
        </w:rPr>
        <w:t xml:space="preserve"> </w:t>
      </w:r>
      <w:r w:rsidR="00680D15">
        <w:rPr>
          <w:rFonts w:ascii="仿宋" w:eastAsia="仿宋" w:hAnsi="仿宋"/>
          <w:spacing w:val="-6"/>
          <w:sz w:val="32"/>
          <w:szCs w:val="32"/>
        </w:rPr>
        <w:t xml:space="preserve">      </w:t>
      </w:r>
      <w:r>
        <w:rPr>
          <w:rFonts w:ascii="仿宋" w:eastAsia="仿宋" w:hAnsi="仿宋" w:hint="eastAsia"/>
          <w:spacing w:val="-6"/>
          <w:sz w:val="32"/>
          <w:szCs w:val="32"/>
        </w:rPr>
        <w:t xml:space="preserve">   </w:t>
      </w:r>
      <w:r w:rsidR="00680D15">
        <w:rPr>
          <w:rFonts w:ascii="仿宋" w:eastAsia="仿宋" w:hAnsi="仿宋"/>
          <w:spacing w:val="-6"/>
          <w:sz w:val="32"/>
          <w:szCs w:val="32"/>
        </w:rPr>
        <w:t>202</w:t>
      </w:r>
      <w:r w:rsidR="00EC501E">
        <w:rPr>
          <w:rFonts w:ascii="仿宋" w:eastAsia="仿宋" w:hAnsi="仿宋" w:hint="eastAsia"/>
          <w:spacing w:val="-6"/>
          <w:sz w:val="32"/>
          <w:szCs w:val="32"/>
        </w:rPr>
        <w:t>4</w:t>
      </w:r>
      <w:r w:rsidR="00680D15">
        <w:rPr>
          <w:rFonts w:ascii="仿宋" w:eastAsia="仿宋" w:hAnsi="仿宋" w:hint="eastAsia"/>
          <w:spacing w:val="-6"/>
          <w:sz w:val="32"/>
          <w:szCs w:val="32"/>
        </w:rPr>
        <w:t>年</w:t>
      </w:r>
      <w:r w:rsidR="00EC501E">
        <w:rPr>
          <w:rFonts w:ascii="仿宋" w:eastAsia="仿宋" w:hAnsi="仿宋" w:hint="eastAsia"/>
          <w:spacing w:val="-6"/>
          <w:sz w:val="32"/>
          <w:szCs w:val="32"/>
        </w:rPr>
        <w:t>3</w:t>
      </w:r>
      <w:r w:rsidR="00680D15">
        <w:rPr>
          <w:rFonts w:ascii="仿宋" w:eastAsia="仿宋" w:hAnsi="仿宋" w:hint="eastAsia"/>
          <w:spacing w:val="-6"/>
          <w:sz w:val="32"/>
          <w:szCs w:val="32"/>
        </w:rPr>
        <w:t>月</w:t>
      </w:r>
      <w:r w:rsidR="001B39FE">
        <w:rPr>
          <w:rFonts w:ascii="仿宋" w:eastAsia="仿宋" w:hAnsi="仿宋" w:hint="eastAsia"/>
          <w:spacing w:val="-6"/>
          <w:sz w:val="32"/>
          <w:szCs w:val="32"/>
        </w:rPr>
        <w:t>8</w:t>
      </w:r>
      <w:r w:rsidR="00680D15">
        <w:rPr>
          <w:rFonts w:ascii="仿宋" w:eastAsia="仿宋" w:hAnsi="仿宋" w:hint="eastAsia"/>
          <w:spacing w:val="-6"/>
          <w:sz w:val="32"/>
          <w:szCs w:val="32"/>
        </w:rPr>
        <w:t>日</w:t>
      </w:r>
    </w:p>
    <w:p w14:paraId="05864D1D" w14:textId="77777777" w:rsidR="006C0260" w:rsidRDefault="00680D15">
      <w:pPr>
        <w:snapToGrid w:val="0"/>
        <w:jc w:val="center"/>
        <w:rPr>
          <w:rFonts w:ascii="小标宋" w:eastAsia="小标宋" w:hAnsi="华文中宋"/>
          <w:bCs/>
          <w:sz w:val="15"/>
          <w:szCs w:val="15"/>
        </w:rPr>
      </w:pPr>
      <w:r>
        <w:rPr>
          <w:rFonts w:ascii="小标宋" w:eastAsia="小标宋" w:hAnsi="华文中宋"/>
          <w:bCs/>
          <w:noProof/>
          <w:sz w:val="15"/>
          <w:szCs w:val="15"/>
        </w:rPr>
        <mc:AlternateContent>
          <mc:Choice Requires="wps">
            <w:drawing>
              <wp:anchor distT="0" distB="0" distL="114300" distR="114300" simplePos="0" relativeHeight="251658240" behindDoc="0" locked="0" layoutInCell="1" allowOverlap="1" wp14:anchorId="6E04E036" wp14:editId="4C1A76EC">
                <wp:simplePos x="0" y="0"/>
                <wp:positionH relativeFrom="margin">
                  <wp:align>center</wp:align>
                </wp:positionH>
                <wp:positionV relativeFrom="paragraph">
                  <wp:posOffset>66675</wp:posOffset>
                </wp:positionV>
                <wp:extent cx="5819775" cy="0"/>
                <wp:effectExtent l="0" t="19050" r="28575" b="19050"/>
                <wp:wrapNone/>
                <wp:docPr id="977798379"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19775" cy="0"/>
                        </a:xfrm>
                        <a:prstGeom prst="line">
                          <a:avLst/>
                        </a:prstGeom>
                        <a:noFill/>
                        <a:ln w="57150" cmpd="thickThin">
                          <a:solidFill>
                            <a:srgbClr val="FF0000"/>
                          </a:solidFill>
                          <a:round/>
                        </a:ln>
                        <a:effectLst/>
                      </wps:spPr>
                      <wps:bodyPr/>
                    </wps:wsp>
                  </a:graphicData>
                </a:graphic>
              </wp:anchor>
            </w:drawing>
          </mc:Choice>
          <mc:Fallback>
            <w:pict>
              <v:line w14:anchorId="5B35FAF6" id="直接连接符 2" o:spid="_x0000_s1026" style="position:absolute;flip:y;z-index:251658240;visibility:visible;mso-wrap-style:square;mso-wrap-distance-left:9pt;mso-wrap-distance-top:0;mso-wrap-distance-right:9pt;mso-wrap-distance-bottom:0;mso-position-horizontal:center;mso-position-horizontal-relative:margin;mso-position-vertical:absolute;mso-position-vertical-relative:text" from="0,5.25pt" to="458.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" strokecolor="red" strokeweight="4.5pt">
                <v:stroke linestyle="thickThin"/>
                <w10:wrap anchorx="margin"/>
              </v:line>
            </w:pict>
          </mc:Fallback>
        </mc:AlternateContent>
      </w:r>
    </w:p>
    <w:p w14:paraId="0C48FF3F" w14:textId="01CD6682" w:rsidR="006C0260" w:rsidRDefault="001B39FE">
      <w:pPr>
        <w:widowControl/>
        <w:spacing w:beforeLines="100" w:before="312"/>
        <w:jc w:val="center"/>
        <w:rPr>
          <w:rFonts w:ascii="华文中宋" w:eastAsia="华文中宋" w:hAnsi="华文中宋"/>
          <w:sz w:val="44"/>
          <w:szCs w:val="44"/>
        </w:rPr>
      </w:pPr>
      <w:r w:rsidRPr="001B39FE">
        <w:rPr>
          <w:rFonts w:ascii="华文中宋" w:eastAsia="华文中宋" w:hAnsi="华文中宋" w:hint="eastAsia"/>
          <w:sz w:val="44"/>
          <w:szCs w:val="44"/>
        </w:rPr>
        <w:t>作科所小麦产业专家团调度当前生产情况</w:t>
      </w:r>
    </w:p>
    <w:p w14:paraId="5E6034AC" w14:textId="77777777" w:rsidR="001B39FE" w:rsidRPr="001B39FE" w:rsidRDefault="001B39FE" w:rsidP="001B39FE">
      <w:pPr>
        <w:ind w:firstLineChars="200" w:firstLine="640"/>
        <w:rPr>
          <w:rFonts w:ascii="仿宋" w:eastAsia="仿宋" w:hAnsi="仿宋"/>
          <w:sz w:val="32"/>
          <w:szCs w:val="32"/>
        </w:rPr>
      </w:pPr>
      <w:r w:rsidRPr="001B39FE">
        <w:rPr>
          <w:rFonts w:ascii="仿宋" w:eastAsia="仿宋" w:hAnsi="仿宋" w:hint="eastAsia"/>
          <w:sz w:val="32"/>
          <w:szCs w:val="32"/>
        </w:rPr>
        <w:t>近日，中国农科院作物科学研究所组织小麦产业专家团专家分赴河南、山东等黄淮麦区，通过中国农业科学院远程协同会商控制中心，汇报了当地小麦春管调研情况，中国农业科学院院长吴孔明、党组书记杨振海，农业农村部种植业司司长潘文博、科技司副司长孙传范等领导听取了产业团专家的汇报。</w:t>
      </w:r>
    </w:p>
    <w:p w14:paraId="2BD198EE" w14:textId="77777777" w:rsidR="001B39FE" w:rsidRPr="001B39FE" w:rsidRDefault="001B39FE" w:rsidP="001B39FE">
      <w:pPr>
        <w:ind w:firstLineChars="200" w:firstLine="640"/>
        <w:rPr>
          <w:rFonts w:ascii="仿宋" w:eastAsia="仿宋" w:hAnsi="仿宋"/>
          <w:sz w:val="32"/>
          <w:szCs w:val="32"/>
        </w:rPr>
      </w:pPr>
      <w:r w:rsidRPr="001B39FE">
        <w:rPr>
          <w:rFonts w:ascii="仿宋" w:eastAsia="仿宋" w:hAnsi="仿宋" w:hint="eastAsia"/>
          <w:sz w:val="32"/>
          <w:szCs w:val="32"/>
        </w:rPr>
        <w:t>中国农科院小麦产业专家团团长、作科所党委书记刘录祥在远程协同会商控制中心汇报了全国冬小麦整体生产情况，以及专家团和科技小分队二月中旬以来工作开展情况，并对当前小麦生产形势进行了分析</w:t>
      </w:r>
      <w:proofErr w:type="gramStart"/>
      <w:r w:rsidRPr="001B39FE">
        <w:rPr>
          <w:rFonts w:ascii="仿宋" w:eastAsia="仿宋" w:hAnsi="仿宋" w:hint="eastAsia"/>
          <w:sz w:val="32"/>
          <w:szCs w:val="32"/>
        </w:rPr>
        <w:t>研</w:t>
      </w:r>
      <w:proofErr w:type="gramEnd"/>
      <w:r w:rsidRPr="001B39FE">
        <w:rPr>
          <w:rFonts w:ascii="仿宋" w:eastAsia="仿宋" w:hAnsi="仿宋" w:hint="eastAsia"/>
          <w:sz w:val="32"/>
          <w:szCs w:val="32"/>
        </w:rPr>
        <w:t>判。</w:t>
      </w:r>
      <w:r w:rsidRPr="001B39FE">
        <w:rPr>
          <w:rFonts w:ascii="仿宋" w:eastAsia="仿宋" w:hAnsi="仿宋"/>
          <w:sz w:val="32"/>
          <w:szCs w:val="32"/>
        </w:rPr>
        <w:t>2023年入冬以来，小麦产业专家团联合国家小麦产业技术体系先后组织42名专家280人次下沉一线开展调查监测，奔赴河南、山东、安徽、江苏、河北、湖北、四川等12个主产省，开展田间调查、低温冻害、病虫草害防控技术指导，针对不同区域不同苗情分类施策，制定技术方案，展开指导培训工作。</w:t>
      </w:r>
    </w:p>
    <w:p w14:paraId="22E4B243" w14:textId="77777777" w:rsidR="001B39FE" w:rsidRPr="001B39FE" w:rsidRDefault="001B39FE" w:rsidP="001B39FE">
      <w:pPr>
        <w:ind w:firstLineChars="200" w:firstLine="640"/>
        <w:rPr>
          <w:rFonts w:ascii="仿宋" w:eastAsia="仿宋" w:hAnsi="仿宋"/>
          <w:sz w:val="32"/>
          <w:szCs w:val="32"/>
        </w:rPr>
      </w:pPr>
      <w:r w:rsidRPr="001B39FE">
        <w:rPr>
          <w:rFonts w:ascii="仿宋" w:eastAsia="仿宋" w:hAnsi="仿宋" w:hint="eastAsia"/>
          <w:sz w:val="32"/>
          <w:szCs w:val="32"/>
        </w:rPr>
        <w:lastRenderedPageBreak/>
        <w:t>会上，刘录祥通过远程连线调度了正在河南、山东带领科学小分队下沉的肖永贵研究员和谢永</w:t>
      </w:r>
      <w:proofErr w:type="gramStart"/>
      <w:r w:rsidRPr="001B39FE">
        <w:rPr>
          <w:rFonts w:ascii="仿宋" w:eastAsia="仿宋" w:hAnsi="仿宋" w:hint="eastAsia"/>
          <w:sz w:val="32"/>
          <w:szCs w:val="32"/>
        </w:rPr>
        <w:t>盾</w:t>
      </w:r>
      <w:proofErr w:type="gramEnd"/>
      <w:r w:rsidRPr="001B39FE">
        <w:rPr>
          <w:rFonts w:ascii="仿宋" w:eastAsia="仿宋" w:hAnsi="仿宋" w:hint="eastAsia"/>
          <w:sz w:val="32"/>
          <w:szCs w:val="32"/>
        </w:rPr>
        <w:t>研究员，以及当地专家、农业农村部门领导、种粮大户等人员。目前，河南省各地小麦越冬情况良好，正处于返青、起身期，一二类壮苗比例高达</w:t>
      </w:r>
      <w:r w:rsidRPr="001B39FE">
        <w:rPr>
          <w:rFonts w:ascii="仿宋" w:eastAsia="仿宋" w:hAnsi="仿宋"/>
          <w:sz w:val="32"/>
          <w:szCs w:val="32"/>
        </w:rPr>
        <w:t>92%以上，长势较好。山东省小麦出苗质量好，壮苗比例大，群体结构合理，苗情总体好于常年。针对农户提出的弱苗管理、低温应对、茎基腐和</w:t>
      </w:r>
      <w:proofErr w:type="gramStart"/>
      <w:r w:rsidRPr="001B39FE">
        <w:rPr>
          <w:rFonts w:ascii="仿宋" w:eastAsia="仿宋" w:hAnsi="仿宋"/>
          <w:sz w:val="32"/>
          <w:szCs w:val="32"/>
        </w:rPr>
        <w:t>麦蜘蛛</w:t>
      </w:r>
      <w:proofErr w:type="gramEnd"/>
      <w:r w:rsidRPr="001B39FE">
        <w:rPr>
          <w:rFonts w:ascii="仿宋" w:eastAsia="仿宋" w:hAnsi="仿宋"/>
          <w:sz w:val="32"/>
          <w:szCs w:val="32"/>
        </w:rPr>
        <w:t>防控等问题，小麦产业团专家通过远程协同会商控制中心一一进行了解答。</w:t>
      </w:r>
    </w:p>
    <w:p w14:paraId="3A9778FA" w14:textId="77777777" w:rsidR="001B39FE" w:rsidRPr="001B39FE" w:rsidRDefault="001B39FE" w:rsidP="001B39FE">
      <w:pPr>
        <w:ind w:firstLineChars="200" w:firstLine="640"/>
        <w:rPr>
          <w:rFonts w:ascii="仿宋" w:eastAsia="仿宋" w:hAnsi="仿宋"/>
          <w:sz w:val="32"/>
          <w:szCs w:val="32"/>
        </w:rPr>
      </w:pPr>
      <w:r w:rsidRPr="001B39FE">
        <w:rPr>
          <w:rFonts w:ascii="仿宋" w:eastAsia="仿宋" w:hAnsi="仿宋" w:hint="eastAsia"/>
          <w:sz w:val="32"/>
          <w:szCs w:val="32"/>
        </w:rPr>
        <w:t>吴孔明院长强调指出，产业专家团是中国农科院改革发展和服务产业的重要抓手，目前已初步构建了院、所、产业专家</w:t>
      </w:r>
      <w:proofErr w:type="gramStart"/>
      <w:r w:rsidRPr="001B39FE">
        <w:rPr>
          <w:rFonts w:ascii="仿宋" w:eastAsia="仿宋" w:hAnsi="仿宋" w:hint="eastAsia"/>
          <w:sz w:val="32"/>
          <w:szCs w:val="32"/>
        </w:rPr>
        <w:t>团有效</w:t>
      </w:r>
      <w:proofErr w:type="gramEnd"/>
      <w:r w:rsidRPr="001B39FE">
        <w:rPr>
          <w:rFonts w:ascii="仿宋" w:eastAsia="仿宋" w:hAnsi="仿宋" w:hint="eastAsia"/>
          <w:sz w:val="32"/>
          <w:szCs w:val="32"/>
        </w:rPr>
        <w:t>协同的工作机制，为夺取夏季粮油丰收、秋粮丰收等工作提供了科技支撑。他要求夺夏粮丰收产业专家团进一步提高思想认识，理清工作思路，树立服务产业一线的鲜明导向，为国家粮食安全提供强有力的科技保障。</w:t>
      </w:r>
    </w:p>
    <w:p w14:paraId="6008D0FB" w14:textId="77777777" w:rsidR="001B39FE" w:rsidRPr="001B39FE" w:rsidRDefault="001B39FE" w:rsidP="001B39FE">
      <w:pPr>
        <w:ind w:firstLineChars="200" w:firstLine="640"/>
        <w:rPr>
          <w:rFonts w:ascii="仿宋" w:eastAsia="仿宋" w:hAnsi="仿宋"/>
          <w:sz w:val="32"/>
          <w:szCs w:val="32"/>
        </w:rPr>
      </w:pPr>
      <w:r w:rsidRPr="001B39FE">
        <w:rPr>
          <w:rFonts w:ascii="仿宋" w:eastAsia="仿宋" w:hAnsi="仿宋" w:hint="eastAsia"/>
          <w:sz w:val="32"/>
          <w:szCs w:val="32"/>
        </w:rPr>
        <w:t>院属</w:t>
      </w:r>
      <w:r w:rsidRPr="001B39FE">
        <w:rPr>
          <w:rFonts w:ascii="仿宋" w:eastAsia="仿宋" w:hAnsi="仿宋"/>
          <w:sz w:val="32"/>
          <w:szCs w:val="32"/>
        </w:rPr>
        <w:t>10个研究所、全国12个小麦主产省的国家小麦产业技术体系及小麦产业专家团专家、新型经营主体、普通农户100余人以现场和远程连线方式参加会议。</w:t>
      </w:r>
    </w:p>
    <w:p w14:paraId="6EF9537D" w14:textId="11B9F3EB" w:rsidR="006C0260" w:rsidRDefault="00CE6FA3" w:rsidP="00CE6FA3">
      <w:pPr>
        <w:jc w:val="center"/>
        <w:rPr>
          <w:rFonts w:ascii="仿宋" w:eastAsia="仿宋" w:hAnsi="仿宋"/>
          <w:spacing w:val="-2"/>
          <w:sz w:val="32"/>
          <w:szCs w:val="32"/>
        </w:rPr>
      </w:pPr>
      <w:r>
        <w:rPr>
          <w:rFonts w:hint="eastAsia"/>
          <w:noProof/>
          <w:sz w:val="28"/>
          <w:szCs w:val="28"/>
        </w:rPr>
        <w:lastRenderedPageBreak/>
        <w:drawing>
          <wp:inline distT="0" distB="0" distL="0" distR="0" wp14:anchorId="25CF2E41" wp14:editId="55AD34E4">
            <wp:extent cx="5274310" cy="39560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会商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6A36EB9F" w14:textId="5CDE7F74" w:rsidR="00CE6FA3" w:rsidRDefault="00CE6FA3" w:rsidP="00CE6FA3">
      <w:pPr>
        <w:jc w:val="center"/>
        <w:rPr>
          <w:rFonts w:ascii="仿宋" w:eastAsia="仿宋" w:hAnsi="仿宋"/>
          <w:spacing w:val="-2"/>
          <w:sz w:val="32"/>
          <w:szCs w:val="32"/>
        </w:rPr>
      </w:pPr>
      <w:r w:rsidRPr="00464B8B">
        <w:rPr>
          <w:noProof/>
          <w:sz w:val="28"/>
          <w:szCs w:val="28"/>
        </w:rPr>
        <w:drawing>
          <wp:inline distT="0" distB="0" distL="0" distR="0" wp14:anchorId="5ECC70E3" wp14:editId="14352913">
            <wp:extent cx="5274310" cy="3954187"/>
            <wp:effectExtent l="0" t="0" r="2540" b="8255"/>
            <wp:docPr id="3" name="图片 3" descr="G:\微信下载文件\WeChat Files\wxid_a892jq8b0kfj21\FileStorage\Temp\cd3c6c88b85ab91f16b1d0e156751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微信下载文件\WeChat Files\wxid_a892jq8b0kfj21\FileStorage\Temp\cd3c6c88b85ab91f16b1d0e1567510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4187"/>
                    </a:xfrm>
                    <a:prstGeom prst="rect">
                      <a:avLst/>
                    </a:prstGeom>
                    <a:noFill/>
                    <a:ln>
                      <a:noFill/>
                    </a:ln>
                  </pic:spPr>
                </pic:pic>
              </a:graphicData>
            </a:graphic>
          </wp:inline>
        </w:drawing>
      </w:r>
    </w:p>
    <w:p w14:paraId="71B9D000" w14:textId="6B94B186" w:rsidR="00CE6FA3" w:rsidRPr="001B39FE" w:rsidRDefault="00CE6FA3" w:rsidP="00CE6FA3">
      <w:pPr>
        <w:jc w:val="center"/>
        <w:rPr>
          <w:rFonts w:ascii="仿宋" w:eastAsia="仿宋" w:hAnsi="仿宋" w:hint="eastAsia"/>
          <w:spacing w:val="-2"/>
          <w:sz w:val="32"/>
          <w:szCs w:val="32"/>
        </w:rPr>
      </w:pPr>
      <w:r>
        <w:rPr>
          <w:rFonts w:hint="eastAsia"/>
          <w:noProof/>
          <w:sz w:val="28"/>
          <w:szCs w:val="28"/>
        </w:rPr>
        <w:lastRenderedPageBreak/>
        <w:drawing>
          <wp:inline distT="0" distB="0" distL="0" distR="0" wp14:anchorId="426B64A8" wp14:editId="5F3876DF">
            <wp:extent cx="5274310" cy="39560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培训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sectPr w:rsidR="00CE6FA3" w:rsidRPr="001B39FE">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78A6BB" w14:textId="77777777" w:rsidR="00484EAD" w:rsidRDefault="00484EAD">
      <w:r>
        <w:separator/>
      </w:r>
    </w:p>
  </w:endnote>
  <w:endnote w:type="continuationSeparator" w:id="0">
    <w:p w14:paraId="720DEB2E" w14:textId="77777777" w:rsidR="00484EAD" w:rsidRDefault="00484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小标宋">
    <w:altName w:val="微软雅黑"/>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9319057"/>
    </w:sdtPr>
    <w:sdtContent>
      <w:sdt>
        <w:sdtPr>
          <w:id w:val="1728636285"/>
        </w:sdtPr>
        <w:sdtContent>
          <w:p w14:paraId="7E5DFEE4" w14:textId="77777777" w:rsidR="006C0260" w:rsidRDefault="00680D15">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7D0D72">
              <w:rPr>
                <w:b/>
                <w:bCs/>
                <w:noProof/>
              </w:rPr>
              <w:t>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7D0D72">
              <w:rPr>
                <w:b/>
                <w:bCs/>
                <w:noProof/>
              </w:rPr>
              <w:t>5</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0B351E" w14:textId="77777777" w:rsidR="00484EAD" w:rsidRDefault="00484EAD">
      <w:r>
        <w:separator/>
      </w:r>
    </w:p>
  </w:footnote>
  <w:footnote w:type="continuationSeparator" w:id="0">
    <w:p w14:paraId="6B09E0A5" w14:textId="77777777" w:rsidR="00484EAD" w:rsidRDefault="00484E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573151A"/>
    <w:multiLevelType w:val="singleLevel"/>
    <w:tmpl w:val="6573151A"/>
    <w:lvl w:ilvl="0">
      <w:start w:val="1"/>
      <w:numFmt w:val="chineseCounting"/>
      <w:lvlText w:val="%1、"/>
      <w:lvlJc w:val="left"/>
    </w:lvl>
  </w:abstractNum>
  <w:abstractNum w:abstractNumId="1" w15:restartNumberingAfterBreak="0">
    <w:nsid w:val="6573153D"/>
    <w:multiLevelType w:val="singleLevel"/>
    <w:tmpl w:val="6573153D"/>
    <w:lvl w:ilvl="0">
      <w:start w:val="1"/>
      <w:numFmt w:val="decimal"/>
      <w:lvlText w:val="%1）"/>
      <w:lvlJc w:val="left"/>
    </w:lvl>
  </w:abstractNum>
  <w:num w:numId="1" w16cid:durableId="1337079055">
    <w:abstractNumId w:val="0"/>
  </w:num>
  <w:num w:numId="2" w16cid:durableId="3250890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260"/>
    <w:rsid w:val="00001A64"/>
    <w:rsid w:val="00041CFA"/>
    <w:rsid w:val="00044DD3"/>
    <w:rsid w:val="00070827"/>
    <w:rsid w:val="000C61A5"/>
    <w:rsid w:val="001B39FE"/>
    <w:rsid w:val="002A12AE"/>
    <w:rsid w:val="002D5479"/>
    <w:rsid w:val="00322C76"/>
    <w:rsid w:val="003772EC"/>
    <w:rsid w:val="003A319E"/>
    <w:rsid w:val="00440E31"/>
    <w:rsid w:val="00483929"/>
    <w:rsid w:val="00484EAD"/>
    <w:rsid w:val="004C7111"/>
    <w:rsid w:val="004E589E"/>
    <w:rsid w:val="004F398B"/>
    <w:rsid w:val="005836E6"/>
    <w:rsid w:val="005D50A4"/>
    <w:rsid w:val="00632729"/>
    <w:rsid w:val="00653F9C"/>
    <w:rsid w:val="00680D15"/>
    <w:rsid w:val="006C0260"/>
    <w:rsid w:val="0070253E"/>
    <w:rsid w:val="007966CA"/>
    <w:rsid w:val="007D0D72"/>
    <w:rsid w:val="008D2770"/>
    <w:rsid w:val="008D50CA"/>
    <w:rsid w:val="00911A2A"/>
    <w:rsid w:val="00920B38"/>
    <w:rsid w:val="00951102"/>
    <w:rsid w:val="00A35401"/>
    <w:rsid w:val="00AF1AA5"/>
    <w:rsid w:val="00B40D4D"/>
    <w:rsid w:val="00B65A1D"/>
    <w:rsid w:val="00C27BEF"/>
    <w:rsid w:val="00CB41A4"/>
    <w:rsid w:val="00CC219C"/>
    <w:rsid w:val="00CE6FA3"/>
    <w:rsid w:val="00CF7D46"/>
    <w:rsid w:val="00D4063C"/>
    <w:rsid w:val="00D51AA6"/>
    <w:rsid w:val="00D9241C"/>
    <w:rsid w:val="00DE2C3D"/>
    <w:rsid w:val="00DF0838"/>
    <w:rsid w:val="00E63527"/>
    <w:rsid w:val="00E84C04"/>
    <w:rsid w:val="00EA365A"/>
    <w:rsid w:val="00EC501E"/>
    <w:rsid w:val="00F45B8E"/>
    <w:rsid w:val="00FC10EB"/>
    <w:rsid w:val="00FD22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0D3647E"/>
  <w15:docId w15:val="{D5B621E9-6385-46E7-88A5-6A6DCBA22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tabs>
        <w:tab w:val="center" w:pos="4153"/>
        <w:tab w:val="right" w:pos="8306"/>
      </w:tabs>
      <w:snapToGrid w:val="0"/>
      <w:jc w:val="center"/>
    </w:pPr>
    <w:rPr>
      <w:sz w:val="18"/>
      <w:szCs w:val="18"/>
    </w:rPr>
  </w:style>
  <w:style w:type="character" w:styleId="a9">
    <w:name w:val="Strong"/>
    <w:basedOn w:val="a0"/>
    <w:uiPriority w:val="22"/>
    <w:qFormat/>
    <w:rPr>
      <w:b/>
      <w:bCs/>
    </w:rPr>
  </w:style>
  <w:style w:type="character" w:styleId="aa">
    <w:name w:val="Hyperlink"/>
    <w:basedOn w:val="a0"/>
    <w:uiPriority w:val="99"/>
    <w:unhideWhenUsed/>
    <w:rPr>
      <w:color w:val="0000FF"/>
      <w:u w:val="single"/>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uiPriority w:val="99"/>
    <w:semiHidden/>
    <w:rPr>
      <w:rFonts w:asciiTheme="minorHAnsi" w:eastAsiaTheme="minorEastAsia" w:hAnsiTheme="minorHAnsi" w:cstheme="minorBidi"/>
      <w:kern w:val="2"/>
      <w:sz w:val="18"/>
      <w:szCs w:val="18"/>
    </w:rPr>
  </w:style>
  <w:style w:type="paragraph" w:customStyle="1" w:styleId="1">
    <w:name w:val="修订1"/>
    <w:hidden/>
    <w:uiPriority w:val="99"/>
    <w:unhideWhenUsed/>
    <w:rPr>
      <w:rFonts w:asciiTheme="minorHAnsi" w:eastAsiaTheme="minorEastAsia" w:hAnsiTheme="minorHAnsi" w:cstheme="minorBidi"/>
      <w:kern w:val="2"/>
      <w:sz w:val="21"/>
      <w:szCs w:val="22"/>
    </w:rPr>
  </w:style>
  <w:style w:type="character" w:styleId="ab">
    <w:name w:val="annotation reference"/>
    <w:basedOn w:val="a0"/>
    <w:uiPriority w:val="99"/>
    <w:semiHidden/>
    <w:unhideWhenUsed/>
    <w:rsid w:val="00E63527"/>
    <w:rPr>
      <w:sz w:val="21"/>
      <w:szCs w:val="21"/>
    </w:rPr>
  </w:style>
  <w:style w:type="paragraph" w:styleId="ac">
    <w:name w:val="annotation text"/>
    <w:basedOn w:val="a"/>
    <w:link w:val="ad"/>
    <w:uiPriority w:val="99"/>
    <w:semiHidden/>
    <w:unhideWhenUsed/>
    <w:rsid w:val="00E63527"/>
    <w:pPr>
      <w:jc w:val="left"/>
    </w:pPr>
  </w:style>
  <w:style w:type="character" w:customStyle="1" w:styleId="ad">
    <w:name w:val="批注文字 字符"/>
    <w:basedOn w:val="a0"/>
    <w:link w:val="ac"/>
    <w:uiPriority w:val="99"/>
    <w:semiHidden/>
    <w:rsid w:val="00E63527"/>
    <w:rPr>
      <w:rFonts w:asciiTheme="minorHAnsi" w:eastAsiaTheme="minorEastAsia" w:hAnsiTheme="minorHAnsi" w:cstheme="minorBidi"/>
      <w:kern w:val="2"/>
      <w:sz w:val="21"/>
      <w:szCs w:val="22"/>
    </w:rPr>
  </w:style>
  <w:style w:type="paragraph" w:styleId="ae">
    <w:name w:val="annotation subject"/>
    <w:basedOn w:val="ac"/>
    <w:next w:val="ac"/>
    <w:link w:val="af"/>
    <w:uiPriority w:val="99"/>
    <w:semiHidden/>
    <w:unhideWhenUsed/>
    <w:rsid w:val="00E63527"/>
    <w:rPr>
      <w:b/>
      <w:bCs/>
    </w:rPr>
  </w:style>
  <w:style w:type="character" w:customStyle="1" w:styleId="af">
    <w:name w:val="批注主题 字符"/>
    <w:basedOn w:val="ad"/>
    <w:link w:val="ae"/>
    <w:uiPriority w:val="99"/>
    <w:semiHidden/>
    <w:rsid w:val="00E63527"/>
    <w:rPr>
      <w:rFonts w:asciiTheme="minorHAnsi" w:eastAsiaTheme="minorEastAsia" w:hAnsiTheme="minorHAnsi" w:cstheme="minorBidi"/>
      <w:b/>
      <w:bCs/>
      <w:kern w:val="2"/>
      <w:sz w:val="21"/>
      <w:szCs w:val="22"/>
    </w:rPr>
  </w:style>
  <w:style w:type="paragraph" w:styleId="af0">
    <w:name w:val="Revision"/>
    <w:hidden/>
    <w:uiPriority w:val="99"/>
    <w:semiHidden/>
    <w:rsid w:val="00D51AA6"/>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5440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133</Words>
  <Characters>761</Characters>
  <Application>Microsoft Office Word</Application>
  <DocSecurity>0</DocSecurity>
  <Lines>6</Lines>
  <Paragraphs>1</Paragraphs>
  <ScaleCrop>false</ScaleCrop>
  <Company/>
  <LinksUpToDate>false</LinksUpToDate>
  <CharactersWithSpaces>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TZQ</dc:creator>
  <cp:lastModifiedBy>TZQ</cp:lastModifiedBy>
  <cp:revision>3</cp:revision>
  <cp:lastPrinted>2023-12-08T20:58:00Z</cp:lastPrinted>
  <dcterms:created xsi:type="dcterms:W3CDTF">2024-03-13T10:56:00Z</dcterms:created>
  <dcterms:modified xsi:type="dcterms:W3CDTF">2024-03-13T10:57:00Z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20D95DCAE9DC986FE197446587D4B729_31</vt:lpwstr>
  </property>
  <property fmtid="{D5CDD505-2E9C-101B-9397-08002B2CF9AE}" pid="3" name="KSOProductBuildVer">
    <vt:lpwstr>2052-12.6.1</vt:lpwstr>
  </property>
</Properties>
</file>